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0" w:rsidRPr="00FC61D1" w:rsidRDefault="00FF5C80" w:rsidP="00FF5C80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FF5C80" w:rsidRPr="00FC61D1" w:rsidRDefault="00FF5C80" w:rsidP="00FF5C80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</w:t>
      </w:r>
      <w:r w:rsidR="00521849">
        <w:rPr>
          <w:rFonts w:eastAsia="Times New Roman"/>
          <w:b/>
          <w:bCs/>
          <w:sz w:val="24"/>
          <w:szCs w:val="24"/>
        </w:rPr>
        <w:t>Малышевского</w:t>
      </w:r>
      <w:r>
        <w:rPr>
          <w:rFonts w:eastAsia="Times New Roman"/>
          <w:b/>
          <w:bCs/>
          <w:sz w:val="24"/>
          <w:szCs w:val="24"/>
        </w:rPr>
        <w:t xml:space="preserve"> сельсовета </w:t>
      </w:r>
    </w:p>
    <w:p w:rsidR="00FF5C80" w:rsidRPr="00FC61D1" w:rsidRDefault="00FF5C80" w:rsidP="00FF5C80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3D17B9">
        <w:rPr>
          <w:rFonts w:eastAsia="Times New Roman"/>
          <w:b/>
          <w:bCs/>
          <w:sz w:val="24"/>
          <w:szCs w:val="24"/>
        </w:rPr>
        <w:t xml:space="preserve">июнь </w:t>
      </w:r>
      <w:r w:rsidRPr="00FC61D1">
        <w:rPr>
          <w:rFonts w:eastAsia="Times New Roman"/>
          <w:b/>
          <w:bCs/>
          <w:sz w:val="24"/>
          <w:szCs w:val="24"/>
        </w:rPr>
        <w:t>201</w:t>
      </w:r>
      <w:r w:rsidR="003D17B9">
        <w:rPr>
          <w:rFonts w:eastAsia="Times New Roman"/>
          <w:b/>
          <w:bCs/>
          <w:sz w:val="24"/>
          <w:szCs w:val="24"/>
        </w:rPr>
        <w:t>4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года </w:t>
      </w:r>
    </w:p>
    <w:p w:rsidR="00FF5C80" w:rsidRDefault="00FF5C80" w:rsidP="00FF5C8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FF5C80" w:rsidRDefault="00FF5C80" w:rsidP="00FF5C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</w:t>
      </w:r>
    </w:p>
    <w:p w:rsidR="00FF5C80" w:rsidRPr="00FC61D1" w:rsidRDefault="00FF5C80" w:rsidP="009433B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sz w:val="24"/>
          <w:szCs w:val="24"/>
        </w:rPr>
        <w:t xml:space="preserve">В администрацию  </w:t>
      </w:r>
      <w:r w:rsidR="00521849">
        <w:rPr>
          <w:rFonts w:eastAsia="Times New Roman"/>
          <w:sz w:val="24"/>
          <w:szCs w:val="24"/>
        </w:rPr>
        <w:t>Малышевского</w:t>
      </w:r>
      <w:r>
        <w:rPr>
          <w:rFonts w:eastAsia="Times New Roman"/>
          <w:sz w:val="24"/>
          <w:szCs w:val="24"/>
        </w:rPr>
        <w:t xml:space="preserve"> сельсовета </w:t>
      </w:r>
      <w:proofErr w:type="spellStart"/>
      <w:r>
        <w:rPr>
          <w:rFonts w:eastAsia="Times New Roman"/>
          <w:sz w:val="24"/>
          <w:szCs w:val="24"/>
        </w:rPr>
        <w:t>Сузунского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района </w:t>
      </w:r>
      <w:r>
        <w:rPr>
          <w:rFonts w:eastAsia="Times New Roman"/>
          <w:sz w:val="24"/>
          <w:szCs w:val="24"/>
        </w:rPr>
        <w:t xml:space="preserve">в </w:t>
      </w:r>
      <w:r w:rsidR="003D17B9">
        <w:rPr>
          <w:rFonts w:eastAsia="Times New Roman"/>
          <w:sz w:val="24"/>
          <w:szCs w:val="24"/>
        </w:rPr>
        <w:t>июне</w:t>
      </w:r>
      <w:r>
        <w:rPr>
          <w:rFonts w:eastAsia="Times New Roman"/>
          <w:sz w:val="24"/>
          <w:szCs w:val="24"/>
        </w:rPr>
        <w:t xml:space="preserve">  201</w:t>
      </w:r>
      <w:r w:rsidR="003D17B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года поступило </w:t>
      </w:r>
      <w:r w:rsidR="003D17B9">
        <w:rPr>
          <w:rFonts w:eastAsia="Times New Roman"/>
          <w:sz w:val="24"/>
          <w:szCs w:val="24"/>
        </w:rPr>
        <w:t xml:space="preserve">0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 w:rsidR="009433B5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граждан, в том числе:</w:t>
      </w:r>
    </w:p>
    <w:p w:rsidR="00FF5C80" w:rsidRPr="00FC61D1" w:rsidRDefault="00FF5C80" w:rsidP="00FF5C80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sz w:val="24"/>
          <w:szCs w:val="24"/>
        </w:rPr>
        <w:t xml:space="preserve">обращений </w:t>
      </w:r>
      <w:r>
        <w:rPr>
          <w:rFonts w:eastAsia="Times New Roman"/>
          <w:sz w:val="24"/>
          <w:szCs w:val="24"/>
        </w:rPr>
        <w:t>0</w:t>
      </w:r>
    </w:p>
    <w:p w:rsidR="00FF5C80" w:rsidRDefault="00FF5C80" w:rsidP="00FF5C8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принято на личном приеме </w:t>
      </w:r>
      <w:r>
        <w:rPr>
          <w:rFonts w:eastAsia="Times New Roman"/>
          <w:b/>
          <w:bCs/>
          <w:sz w:val="24"/>
          <w:szCs w:val="24"/>
        </w:rPr>
        <w:t xml:space="preserve">Главой </w:t>
      </w:r>
      <w:r w:rsidRPr="00FC61D1"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 xml:space="preserve">далее - </w:t>
      </w:r>
      <w:r w:rsidRPr="00FC61D1">
        <w:rPr>
          <w:rFonts w:eastAsia="Times New Roman"/>
          <w:b/>
          <w:bCs/>
          <w:sz w:val="24"/>
          <w:szCs w:val="24"/>
        </w:rPr>
        <w:t xml:space="preserve">устные обращения) </w:t>
      </w:r>
      <w:r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3D17B9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, </w:t>
      </w:r>
    </w:p>
    <w:p w:rsidR="00FF5C80" w:rsidRDefault="00FF5C80" w:rsidP="00FF5C8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24"/>
          <w:szCs w:val="24"/>
        </w:rPr>
      </w:pPr>
    </w:p>
    <w:p w:rsidR="003D20CE" w:rsidRDefault="003D20CE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24"/>
          <w:szCs w:val="24"/>
        </w:rPr>
      </w:pP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 w:rsidR="00E05A8D"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51"/>
        <w:gridCol w:w="7332"/>
        <w:gridCol w:w="1160"/>
        <w:gridCol w:w="1160"/>
      </w:tblGrid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80" w:type="pct"/>
            <w:shd w:val="clear" w:color="auto" w:fill="FFFFFF"/>
          </w:tcPr>
          <w:p w:rsidR="00B037EA" w:rsidRDefault="003D17B9" w:rsidP="00061E06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  <w:p w:rsidR="00B037EA" w:rsidRPr="00FC61D1" w:rsidRDefault="00B037EA" w:rsidP="003D17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3D17B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" w:type="pct"/>
            <w:shd w:val="clear" w:color="auto" w:fill="FFFFFF"/>
          </w:tcPr>
          <w:p w:rsidR="00B037EA" w:rsidRDefault="003D17B9" w:rsidP="00A55999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Июнь</w:t>
            </w:r>
          </w:p>
          <w:p w:rsidR="00B037EA" w:rsidRPr="00FC61D1" w:rsidRDefault="00B037EA" w:rsidP="003D17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3D17B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3D17B9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3D17B9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3D17B9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3D17B9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3D17B9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3D17B9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3D17B9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3D17B9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3D17B9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3D17B9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3D17B9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3D17B9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85530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5.3  </w:t>
            </w:r>
            <w:r w:rsidRPr="00FC61D1">
              <w:rPr>
                <w:rFonts w:eastAsia="Times New Roman"/>
                <w:sz w:val="24"/>
                <w:szCs w:val="24"/>
              </w:rPr>
              <w:t>Нежилой  фо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5.4 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5.5  </w:t>
            </w:r>
            <w:r w:rsidRPr="00FC61D1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3D17B9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80" w:type="pct"/>
            <w:shd w:val="clear" w:color="auto" w:fill="FFFFFF"/>
          </w:tcPr>
          <w:p w:rsidR="00B037EA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80" w:type="pct"/>
            <w:shd w:val="clear" w:color="auto" w:fill="FFFFFF"/>
          </w:tcPr>
          <w:p w:rsidR="00B037EA" w:rsidRDefault="003D17B9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Default="003D17B9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Default="00FC61D1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Проблемные вопросы, содержащиеся в обращениях граждан </w:t>
      </w:r>
      <w:r w:rsidRPr="00FC61D1">
        <w:rPr>
          <w:rFonts w:eastAsia="Times New Roman"/>
          <w:sz w:val="24"/>
          <w:szCs w:val="24"/>
        </w:rPr>
        <w:t>(с приведением примеров наиболее характерных обращений):</w:t>
      </w:r>
    </w:p>
    <w:p w:rsidR="000A0C17" w:rsidRDefault="000A0C17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0A0C17">
        <w:rPr>
          <w:rFonts w:eastAsia="Times New Roman"/>
          <w:sz w:val="24"/>
          <w:szCs w:val="24"/>
        </w:rPr>
        <w:t>Самыми актуальными на приемах были вопросы</w:t>
      </w:r>
      <w:r>
        <w:rPr>
          <w:rFonts w:eastAsia="Times New Roman"/>
          <w:sz w:val="24"/>
          <w:szCs w:val="24"/>
        </w:rPr>
        <w:t>:</w:t>
      </w:r>
    </w:p>
    <w:p w:rsidR="001E7518" w:rsidRDefault="001E7518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Pr="00FC61D1" w:rsidRDefault="00FC61D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 w:rsidR="0080086A">
        <w:rPr>
          <w:rFonts w:eastAsia="Times New Roman"/>
          <w:b/>
          <w:bCs/>
          <w:sz w:val="24"/>
          <w:szCs w:val="24"/>
        </w:rPr>
        <w:t xml:space="preserve"> личных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1E7518">
        <w:rPr>
          <w:rFonts w:eastAsia="Times New Roman"/>
          <w:b/>
          <w:bCs/>
          <w:sz w:val="24"/>
          <w:szCs w:val="24"/>
        </w:rPr>
        <w:t xml:space="preserve">- </w:t>
      </w:r>
      <w:r w:rsidR="003D17B9">
        <w:rPr>
          <w:rFonts w:eastAsia="Times New Roman"/>
          <w:b/>
          <w:bCs/>
          <w:sz w:val="24"/>
          <w:szCs w:val="24"/>
        </w:rPr>
        <w:t>0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</w:t>
      </w:r>
      <w:r w:rsidR="0080086A">
        <w:rPr>
          <w:rFonts w:eastAsia="Times New Roman"/>
          <w:sz w:val="24"/>
          <w:szCs w:val="24"/>
        </w:rPr>
        <w:t xml:space="preserve"> –</w:t>
      </w:r>
      <w:r w:rsidR="003D17B9">
        <w:rPr>
          <w:rFonts w:eastAsia="Times New Roman"/>
          <w:sz w:val="24"/>
          <w:szCs w:val="24"/>
        </w:rPr>
        <w:t>0</w:t>
      </w:r>
      <w:r w:rsidRPr="00FC61D1">
        <w:rPr>
          <w:rFonts w:eastAsia="Times New Roman"/>
          <w:sz w:val="24"/>
          <w:szCs w:val="24"/>
        </w:rPr>
        <w:t>;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80086A">
        <w:rPr>
          <w:rFonts w:eastAsia="Times New Roman"/>
          <w:sz w:val="24"/>
          <w:szCs w:val="24"/>
        </w:rPr>
        <w:t xml:space="preserve">– </w:t>
      </w:r>
      <w:r w:rsidR="003D17B9">
        <w:rPr>
          <w:rFonts w:eastAsia="Times New Roman"/>
          <w:sz w:val="24"/>
          <w:szCs w:val="24"/>
        </w:rPr>
        <w:t>0</w:t>
      </w:r>
      <w:r w:rsidR="0080086A" w:rsidRPr="00FC61D1">
        <w:rPr>
          <w:rFonts w:eastAsia="Times New Roman"/>
          <w:sz w:val="24"/>
          <w:szCs w:val="24"/>
        </w:rPr>
        <w:t>;</w:t>
      </w:r>
    </w:p>
    <w:p w:rsidR="001E7518" w:rsidRDefault="00FC61D1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 w:rsidRPr="00FC61D1">
        <w:rPr>
          <w:sz w:val="24"/>
          <w:szCs w:val="24"/>
        </w:rPr>
        <w:t>-</w:t>
      </w:r>
      <w:r w:rsidRPr="00FC61D1">
        <w:rPr>
          <w:sz w:val="24"/>
          <w:szCs w:val="24"/>
        </w:rPr>
        <w:tab/>
      </w:r>
      <w:r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9D44E6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 xml:space="preserve">– </w:t>
      </w:r>
      <w:r w:rsidR="00E92A63">
        <w:rPr>
          <w:rFonts w:eastAsia="Times New Roman"/>
          <w:sz w:val="24"/>
          <w:szCs w:val="24"/>
        </w:rPr>
        <w:t>0</w:t>
      </w:r>
      <w:r w:rsidR="001E7518">
        <w:rPr>
          <w:rFonts w:eastAsia="Times New Roman"/>
          <w:b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sectPr w:rsidR="00FC61D1" w:rsidSect="00855306">
      <w:pgSz w:w="11909" w:h="16834"/>
      <w:pgMar w:top="720" w:right="852" w:bottom="72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7DDC"/>
    <w:rsid w:val="0006550E"/>
    <w:rsid w:val="00083069"/>
    <w:rsid w:val="000A0C17"/>
    <w:rsid w:val="00111880"/>
    <w:rsid w:val="0011233E"/>
    <w:rsid w:val="0011485B"/>
    <w:rsid w:val="00166E1B"/>
    <w:rsid w:val="001908A1"/>
    <w:rsid w:val="001E7518"/>
    <w:rsid w:val="0028127A"/>
    <w:rsid w:val="002D2DD8"/>
    <w:rsid w:val="002E0B3C"/>
    <w:rsid w:val="0036494C"/>
    <w:rsid w:val="003777D6"/>
    <w:rsid w:val="003902CC"/>
    <w:rsid w:val="003A01AD"/>
    <w:rsid w:val="003C0E67"/>
    <w:rsid w:val="003D17B9"/>
    <w:rsid w:val="003D20CE"/>
    <w:rsid w:val="003E35BA"/>
    <w:rsid w:val="00414AF2"/>
    <w:rsid w:val="004215C8"/>
    <w:rsid w:val="00467980"/>
    <w:rsid w:val="00492E82"/>
    <w:rsid w:val="004E1DDC"/>
    <w:rsid w:val="00521849"/>
    <w:rsid w:val="005416D2"/>
    <w:rsid w:val="00570024"/>
    <w:rsid w:val="00591CAC"/>
    <w:rsid w:val="005B42CC"/>
    <w:rsid w:val="00640731"/>
    <w:rsid w:val="006563AE"/>
    <w:rsid w:val="00656BA0"/>
    <w:rsid w:val="00662C27"/>
    <w:rsid w:val="00687DDC"/>
    <w:rsid w:val="00687F04"/>
    <w:rsid w:val="006B69C2"/>
    <w:rsid w:val="0070491B"/>
    <w:rsid w:val="00761A87"/>
    <w:rsid w:val="007B2FAE"/>
    <w:rsid w:val="007C17BA"/>
    <w:rsid w:val="0080086A"/>
    <w:rsid w:val="00850B11"/>
    <w:rsid w:val="00855306"/>
    <w:rsid w:val="008E3C41"/>
    <w:rsid w:val="009433B5"/>
    <w:rsid w:val="009B6E7A"/>
    <w:rsid w:val="009D44E6"/>
    <w:rsid w:val="009D7466"/>
    <w:rsid w:val="00A04442"/>
    <w:rsid w:val="00A148AD"/>
    <w:rsid w:val="00A37380"/>
    <w:rsid w:val="00A729DA"/>
    <w:rsid w:val="00A80B64"/>
    <w:rsid w:val="00AA37D2"/>
    <w:rsid w:val="00AD2015"/>
    <w:rsid w:val="00AF2069"/>
    <w:rsid w:val="00B037EA"/>
    <w:rsid w:val="00B34EE1"/>
    <w:rsid w:val="00B6369D"/>
    <w:rsid w:val="00B80AB3"/>
    <w:rsid w:val="00BA54FE"/>
    <w:rsid w:val="00BF343C"/>
    <w:rsid w:val="00D215E2"/>
    <w:rsid w:val="00D23A7E"/>
    <w:rsid w:val="00D25C5C"/>
    <w:rsid w:val="00DF1476"/>
    <w:rsid w:val="00E05A8D"/>
    <w:rsid w:val="00E458F2"/>
    <w:rsid w:val="00E631AA"/>
    <w:rsid w:val="00E63E33"/>
    <w:rsid w:val="00E77D10"/>
    <w:rsid w:val="00E92A63"/>
    <w:rsid w:val="00EB2E4A"/>
    <w:rsid w:val="00F103FE"/>
    <w:rsid w:val="00F26C4D"/>
    <w:rsid w:val="00F75F68"/>
    <w:rsid w:val="00F94548"/>
    <w:rsid w:val="00FC61D1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C62C-68BB-4AB3-A3FA-C06C56F4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МАИС</cp:lastModifiedBy>
  <cp:revision>5</cp:revision>
  <cp:lastPrinted>2014-02-13T09:56:00Z</cp:lastPrinted>
  <dcterms:created xsi:type="dcterms:W3CDTF">2015-05-12T06:19:00Z</dcterms:created>
  <dcterms:modified xsi:type="dcterms:W3CDTF">2015-05-13T08:19:00Z</dcterms:modified>
</cp:coreProperties>
</file>